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A46C" w14:textId="77777777" w:rsidR="00381331" w:rsidRPr="00642313" w:rsidRDefault="00381331" w:rsidP="000264C0">
      <w:pPr>
        <w:spacing w:after="0" w:line="240" w:lineRule="auto"/>
        <w:jc w:val="both"/>
        <w:rPr>
          <w:rFonts w:ascii="Arial" w:hAnsi="Arial" w:cs="Arial"/>
          <w:lang w:val="en-CA"/>
        </w:rPr>
      </w:pPr>
      <w:bookmarkStart w:id="0" w:name="_GoBack"/>
      <w:bookmarkEnd w:id="0"/>
    </w:p>
    <w:p w14:paraId="0F2268D1" w14:textId="3F59FDB0" w:rsidR="001D1989" w:rsidRPr="00642313" w:rsidRDefault="00FC1516" w:rsidP="000264C0">
      <w:pPr>
        <w:spacing w:after="0" w:line="240" w:lineRule="auto"/>
        <w:jc w:val="both"/>
        <w:rPr>
          <w:rFonts w:ascii="Arial" w:hAnsi="Arial" w:cs="Arial"/>
          <w:lang w:val="en-CA"/>
        </w:rPr>
      </w:pPr>
      <w:r>
        <w:rPr>
          <w:noProof/>
          <w:lang w:val="en-CA" w:eastAsia="en-CA"/>
        </w:rPr>
        <w:drawing>
          <wp:inline distT="0" distB="0" distL="0" distR="0" wp14:anchorId="7A663129" wp14:editId="3D78E522">
            <wp:extent cx="2362200" cy="662940"/>
            <wp:effectExtent l="0" t="0" r="0" b="3810"/>
            <wp:docPr id="1" name="Picture 1" descr="A picture containing screenshot, graphics, font,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graphics, font, text&#10;&#10;Description automatically generated">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62940"/>
                    </a:xfrm>
                    <a:prstGeom prst="rect">
                      <a:avLst/>
                    </a:prstGeom>
                    <a:noFill/>
                    <a:ln>
                      <a:noFill/>
                    </a:ln>
                  </pic:spPr>
                </pic:pic>
              </a:graphicData>
            </a:graphic>
          </wp:inline>
        </w:drawing>
      </w:r>
    </w:p>
    <w:p w14:paraId="2CD07D01" w14:textId="77777777" w:rsidR="001D1989" w:rsidRPr="00642313" w:rsidRDefault="001D1989" w:rsidP="000264C0">
      <w:pPr>
        <w:spacing w:after="0" w:line="240" w:lineRule="auto"/>
        <w:jc w:val="both"/>
        <w:rPr>
          <w:rFonts w:ascii="Arial" w:hAnsi="Arial" w:cs="Arial"/>
          <w:lang w:val="en-CA"/>
        </w:rPr>
      </w:pPr>
    </w:p>
    <w:p w14:paraId="4F6E177B" w14:textId="2DFE7F88" w:rsidR="00511AEF" w:rsidRPr="00642313" w:rsidRDefault="00012418" w:rsidP="000264C0">
      <w:pPr>
        <w:spacing w:after="0" w:line="240" w:lineRule="auto"/>
        <w:jc w:val="both"/>
        <w:rPr>
          <w:rFonts w:ascii="Arial" w:hAnsi="Arial" w:cs="Arial"/>
          <w:lang w:val="en-CA"/>
        </w:rPr>
      </w:pPr>
      <w:r>
        <w:rPr>
          <w:rFonts w:ascii="Arial" w:hAnsi="Arial" w:cs="Arial"/>
          <w:lang w:val="en-CA"/>
        </w:rPr>
        <w:t>January 11</w:t>
      </w:r>
      <w:r w:rsidR="0025791C">
        <w:rPr>
          <w:rFonts w:ascii="Arial" w:hAnsi="Arial" w:cs="Arial"/>
          <w:lang w:val="en-CA"/>
        </w:rPr>
        <w:t>, 202</w:t>
      </w:r>
      <w:r>
        <w:rPr>
          <w:rFonts w:ascii="Arial" w:hAnsi="Arial" w:cs="Arial"/>
          <w:lang w:val="en-CA"/>
        </w:rPr>
        <w:t>4</w:t>
      </w:r>
      <w:r w:rsidR="00ED2CB9" w:rsidRPr="00642313">
        <w:rPr>
          <w:rFonts w:ascii="Arial" w:hAnsi="Arial" w:cs="Arial"/>
          <w:lang w:val="en-CA"/>
        </w:rPr>
        <w:t xml:space="preserve"> </w:t>
      </w:r>
    </w:p>
    <w:p w14:paraId="4AD6436E" w14:textId="18E5B964" w:rsidR="00AD7112" w:rsidRPr="00642313" w:rsidRDefault="00AD7112" w:rsidP="000264C0">
      <w:pPr>
        <w:spacing w:after="0" w:line="240" w:lineRule="auto"/>
        <w:jc w:val="both"/>
        <w:rPr>
          <w:rFonts w:ascii="Arial" w:hAnsi="Arial" w:cs="Arial"/>
          <w:lang w:val="en-CA"/>
        </w:rPr>
      </w:pPr>
    </w:p>
    <w:p w14:paraId="4725FF41" w14:textId="1C7737A9" w:rsidR="00C42FC5" w:rsidRPr="00642313" w:rsidRDefault="00AD7112" w:rsidP="000264C0">
      <w:pPr>
        <w:spacing w:after="0" w:line="240" w:lineRule="auto"/>
        <w:jc w:val="both"/>
        <w:rPr>
          <w:rFonts w:ascii="Arial" w:hAnsi="Arial" w:cs="Arial"/>
          <w:lang w:val="en-CA"/>
        </w:rPr>
      </w:pPr>
      <w:r w:rsidRPr="00642313">
        <w:rPr>
          <w:rFonts w:ascii="Arial" w:hAnsi="Arial" w:cs="Arial"/>
          <w:lang w:val="en-CA"/>
        </w:rPr>
        <w:t>Dear Real Estate Representatives,</w:t>
      </w:r>
      <w:r w:rsidR="004D1966" w:rsidRPr="00642313">
        <w:rPr>
          <w:rFonts w:ascii="Arial" w:hAnsi="Arial" w:cs="Arial"/>
          <w:lang w:val="en-CA"/>
        </w:rPr>
        <w:t xml:space="preserve"> Presidents and Library Staff, </w:t>
      </w:r>
      <w:r w:rsidRPr="00642313">
        <w:rPr>
          <w:rFonts w:ascii="Arial" w:hAnsi="Arial" w:cs="Arial"/>
          <w:lang w:val="en-CA"/>
        </w:rPr>
        <w:t xml:space="preserve"> </w:t>
      </w:r>
    </w:p>
    <w:p w14:paraId="249F0685" w14:textId="1206E988" w:rsidR="00652E3F" w:rsidRPr="00642313" w:rsidRDefault="00652E3F" w:rsidP="000264C0">
      <w:pPr>
        <w:spacing w:after="0" w:line="240" w:lineRule="auto"/>
        <w:jc w:val="both"/>
        <w:rPr>
          <w:rFonts w:ascii="Arial" w:hAnsi="Arial" w:cs="Arial"/>
          <w:lang w:val="en-CA"/>
        </w:rPr>
      </w:pPr>
    </w:p>
    <w:p w14:paraId="028EB43F" w14:textId="04D0EB09" w:rsidR="000264C0" w:rsidRDefault="003D2023" w:rsidP="000264C0">
      <w:pPr>
        <w:spacing w:after="0" w:line="240" w:lineRule="auto"/>
        <w:jc w:val="both"/>
        <w:rPr>
          <w:rFonts w:ascii="Arial" w:hAnsi="Arial" w:cs="Arial"/>
          <w:lang w:val="en-CA"/>
        </w:rPr>
      </w:pPr>
      <w:r>
        <w:rPr>
          <w:rFonts w:ascii="Arial" w:hAnsi="Arial" w:cs="Arial"/>
          <w:lang w:val="en-CA"/>
        </w:rPr>
        <w:t xml:space="preserve">Happy New Year!  </w:t>
      </w:r>
      <w:r w:rsidR="00C42FC5" w:rsidRPr="00642313">
        <w:rPr>
          <w:rFonts w:ascii="Arial" w:hAnsi="Arial" w:cs="Arial"/>
          <w:lang w:val="en-CA"/>
        </w:rPr>
        <w:t xml:space="preserve">In an effort to keep real estate lawyers updated with the ever-changing situation, we have further information to be shared with the real estate lawyers in your association. </w:t>
      </w:r>
    </w:p>
    <w:p w14:paraId="65C619F0" w14:textId="77777777" w:rsidR="000264C0" w:rsidRPr="00642313" w:rsidRDefault="000264C0" w:rsidP="000264C0">
      <w:pPr>
        <w:spacing w:after="0" w:line="240" w:lineRule="auto"/>
        <w:jc w:val="both"/>
        <w:rPr>
          <w:rFonts w:ascii="Arial" w:hAnsi="Arial" w:cs="Arial"/>
          <w:lang w:val="en-CA"/>
        </w:rPr>
      </w:pPr>
    </w:p>
    <w:p w14:paraId="31B1940C" w14:textId="4ADB9AAE" w:rsidR="00E430C1" w:rsidRDefault="00E430C1" w:rsidP="003F3FA2">
      <w:pPr>
        <w:jc w:val="both"/>
        <w:rPr>
          <w:rFonts w:ascii="Arial" w:hAnsi="Arial" w:cs="Arial"/>
          <w:b/>
          <w:bCs/>
          <w:u w:val="single"/>
        </w:rPr>
      </w:pPr>
      <w:r>
        <w:rPr>
          <w:rFonts w:ascii="Arial" w:hAnsi="Arial" w:cs="Arial"/>
          <w:b/>
          <w:bCs/>
          <w:u w:val="single"/>
        </w:rPr>
        <w:t>Director of Titles</w:t>
      </w:r>
    </w:p>
    <w:p w14:paraId="1A382498" w14:textId="77777777" w:rsidR="0071703F" w:rsidRDefault="0071703F" w:rsidP="003F3FA2">
      <w:pPr>
        <w:jc w:val="both"/>
        <w:rPr>
          <w:rFonts w:ascii="Arial" w:hAnsi="Arial" w:cs="Arial"/>
          <w:bCs/>
        </w:rPr>
      </w:pPr>
      <w:r>
        <w:rPr>
          <w:rFonts w:ascii="Arial" w:hAnsi="Arial" w:cs="Arial"/>
          <w:bCs/>
        </w:rPr>
        <w:t xml:space="preserve">We are pleased to advise that the Federation of Chinese-Canadian Professionals (Legal Section) is raising funds for the Jeffrey Lem Memorial Scholarship in memory of </w:t>
      </w:r>
      <w:r w:rsidR="00E430C1">
        <w:rPr>
          <w:rFonts w:ascii="Arial" w:hAnsi="Arial" w:cs="Arial"/>
          <w:bCs/>
        </w:rPr>
        <w:t xml:space="preserve">Jeffrey Lem, </w:t>
      </w:r>
      <w:r>
        <w:rPr>
          <w:rFonts w:ascii="Arial" w:hAnsi="Arial" w:cs="Arial"/>
          <w:bCs/>
        </w:rPr>
        <w:t>Director of Titles, who died on September 3, 2023</w:t>
      </w:r>
      <w:r w:rsidR="00E430C1">
        <w:rPr>
          <w:rFonts w:ascii="Arial" w:hAnsi="Arial" w:cs="Arial"/>
          <w:bCs/>
        </w:rPr>
        <w:t xml:space="preserve">. </w:t>
      </w:r>
      <w:r>
        <w:rPr>
          <w:rFonts w:ascii="Arial" w:hAnsi="Arial" w:cs="Arial"/>
          <w:bCs/>
        </w:rPr>
        <w:t xml:space="preserve">For those interested in making a contribution, please see the Federation’s website </w:t>
      </w:r>
      <w:hyperlink r:id="rId9" w:history="1">
        <w:r w:rsidRPr="0071703F">
          <w:rPr>
            <w:rStyle w:val="Hyperlink"/>
            <w:rFonts w:ascii="Arial" w:hAnsi="Arial" w:cs="Arial"/>
            <w:bCs/>
          </w:rPr>
          <w:t>here</w:t>
        </w:r>
      </w:hyperlink>
      <w:r>
        <w:rPr>
          <w:rFonts w:ascii="Arial" w:hAnsi="Arial" w:cs="Arial"/>
          <w:bCs/>
        </w:rPr>
        <w:t>.</w:t>
      </w:r>
    </w:p>
    <w:p w14:paraId="7B32E814" w14:textId="7AFA7775" w:rsidR="0071703F" w:rsidRDefault="0071703F" w:rsidP="003F3FA2">
      <w:pPr>
        <w:jc w:val="both"/>
        <w:rPr>
          <w:rFonts w:ascii="Arial" w:hAnsi="Arial" w:cs="Arial"/>
          <w:bCs/>
        </w:rPr>
      </w:pPr>
      <w:r>
        <w:rPr>
          <w:rFonts w:ascii="Arial" w:hAnsi="Arial" w:cs="Arial"/>
          <w:bCs/>
        </w:rPr>
        <w:t xml:space="preserve">We are pleased to welcome Interim Director of Titles, </w:t>
      </w:r>
      <w:r w:rsidRPr="0071703F">
        <w:rPr>
          <w:rFonts w:ascii="Arial" w:hAnsi="Arial" w:cs="Arial"/>
          <w:b/>
          <w:bCs/>
        </w:rPr>
        <w:t>Rebecca Hockridge</w:t>
      </w:r>
      <w:r>
        <w:rPr>
          <w:rFonts w:ascii="Arial" w:hAnsi="Arial" w:cs="Arial"/>
          <w:bCs/>
        </w:rPr>
        <w:t xml:space="preserve">. Ms. Hockridge has been appointed to the role of Director of Titles for a six month term and is actively attending to duties. </w:t>
      </w:r>
    </w:p>
    <w:p w14:paraId="177F90B1" w14:textId="5EDEBF9A" w:rsidR="0067505E" w:rsidRPr="0067505E" w:rsidRDefault="00E430C1" w:rsidP="003F3FA2">
      <w:pPr>
        <w:jc w:val="both"/>
        <w:rPr>
          <w:rFonts w:ascii="Arial" w:hAnsi="Arial" w:cs="Arial"/>
          <w:b/>
          <w:u w:val="single"/>
        </w:rPr>
      </w:pPr>
      <w:r>
        <w:rPr>
          <w:rFonts w:ascii="Arial" w:hAnsi="Arial" w:cs="Arial"/>
          <w:bCs/>
        </w:rPr>
        <w:t xml:space="preserve"> </w:t>
      </w:r>
      <w:r w:rsidR="0067505E" w:rsidRPr="0067505E">
        <w:rPr>
          <w:rFonts w:ascii="Arial" w:hAnsi="Arial" w:cs="Arial"/>
          <w:b/>
          <w:u w:val="single"/>
        </w:rPr>
        <w:t xml:space="preserve">Verification of Client Identification </w:t>
      </w:r>
      <w:r w:rsidR="00357D6F" w:rsidRPr="0067505E">
        <w:rPr>
          <w:rFonts w:ascii="Arial" w:hAnsi="Arial" w:cs="Arial"/>
          <w:b/>
          <w:u w:val="single"/>
        </w:rPr>
        <w:t>Virtually</w:t>
      </w:r>
    </w:p>
    <w:p w14:paraId="5E64344B" w14:textId="08ED3010" w:rsidR="0067505E" w:rsidRDefault="0067505E" w:rsidP="003F3FA2">
      <w:pPr>
        <w:jc w:val="both"/>
        <w:rPr>
          <w:rFonts w:ascii="Arial" w:hAnsi="Arial" w:cs="Arial"/>
        </w:rPr>
      </w:pPr>
      <w:r>
        <w:rPr>
          <w:rFonts w:ascii="Arial" w:hAnsi="Arial" w:cs="Arial"/>
        </w:rPr>
        <w:t xml:space="preserve">Effective </w:t>
      </w:r>
      <w:r w:rsidRPr="00357D6F">
        <w:rPr>
          <w:rFonts w:ascii="Arial" w:hAnsi="Arial" w:cs="Arial"/>
          <w:b/>
          <w:u w:val="single"/>
        </w:rPr>
        <w:t>January 1, 202</w:t>
      </w:r>
      <w:r w:rsidR="0025791C">
        <w:rPr>
          <w:rFonts w:ascii="Arial" w:hAnsi="Arial" w:cs="Arial"/>
          <w:b/>
          <w:u w:val="single"/>
        </w:rPr>
        <w:t>4</w:t>
      </w:r>
      <w:r>
        <w:rPr>
          <w:rFonts w:ascii="Arial" w:hAnsi="Arial" w:cs="Arial"/>
        </w:rPr>
        <w:t xml:space="preserve">, the Law </w:t>
      </w:r>
      <w:r w:rsidR="00357D6F">
        <w:rPr>
          <w:rFonts w:ascii="Arial" w:hAnsi="Arial" w:cs="Arial"/>
        </w:rPr>
        <w:t>Society’s</w:t>
      </w:r>
      <w:r>
        <w:rPr>
          <w:rFonts w:ascii="Arial" w:hAnsi="Arial" w:cs="Arial"/>
        </w:rPr>
        <w:t xml:space="preserve"> temporary emergency measure allowing licensees to </w:t>
      </w:r>
      <w:r w:rsidRPr="00BC50C8">
        <w:rPr>
          <w:rFonts w:ascii="Arial" w:hAnsi="Arial" w:cs="Arial"/>
          <w:u w:val="single"/>
        </w:rPr>
        <w:t>virtually verify client identity without authentication</w:t>
      </w:r>
      <w:r>
        <w:rPr>
          <w:rFonts w:ascii="Arial" w:hAnsi="Arial" w:cs="Arial"/>
        </w:rPr>
        <w:t xml:space="preserve"> </w:t>
      </w:r>
      <w:r w:rsidR="00012418">
        <w:rPr>
          <w:rFonts w:ascii="Arial" w:hAnsi="Arial" w:cs="Arial"/>
        </w:rPr>
        <w:t>has</w:t>
      </w:r>
      <w:r>
        <w:rPr>
          <w:rFonts w:ascii="Arial" w:hAnsi="Arial" w:cs="Arial"/>
        </w:rPr>
        <w:t xml:space="preserve"> end</w:t>
      </w:r>
      <w:r w:rsidR="00012418">
        <w:rPr>
          <w:rFonts w:ascii="Arial" w:hAnsi="Arial" w:cs="Arial"/>
        </w:rPr>
        <w:t>ed</w:t>
      </w:r>
      <w:r>
        <w:rPr>
          <w:rFonts w:ascii="Arial" w:hAnsi="Arial" w:cs="Arial"/>
        </w:rPr>
        <w:t>. On and after that date, licensees must authenti</w:t>
      </w:r>
      <w:r w:rsidR="00357D6F">
        <w:rPr>
          <w:rFonts w:ascii="Arial" w:hAnsi="Arial" w:cs="Arial"/>
        </w:rPr>
        <w:t>cate an individual’s government-</w:t>
      </w:r>
      <w:r>
        <w:rPr>
          <w:rFonts w:ascii="Arial" w:hAnsi="Arial" w:cs="Arial"/>
        </w:rPr>
        <w:t>issued ID, meaning the licensee must use a process or method to determine if the ID is true and genuine</w:t>
      </w:r>
      <w:r w:rsidR="00357D6F">
        <w:rPr>
          <w:rFonts w:ascii="Arial" w:hAnsi="Arial" w:cs="Arial"/>
        </w:rPr>
        <w:t xml:space="preserve"> and </w:t>
      </w:r>
      <w:r w:rsidR="00357D6F" w:rsidRPr="00357D6F">
        <w:rPr>
          <w:rFonts w:ascii="Arial" w:hAnsi="Arial" w:cs="Arial"/>
          <w:u w:val="single"/>
        </w:rPr>
        <w:t>cannot do so virtually</w:t>
      </w:r>
      <w:r>
        <w:rPr>
          <w:rFonts w:ascii="Arial" w:hAnsi="Arial" w:cs="Arial"/>
        </w:rPr>
        <w:t xml:space="preserve">. Bylaw 7.1 allows two methods of verification virtually: the credit file method and the dual process method. Licensees can also use an agent to </w:t>
      </w:r>
      <w:r w:rsidR="00357D6F">
        <w:rPr>
          <w:rFonts w:ascii="Arial" w:hAnsi="Arial" w:cs="Arial"/>
        </w:rPr>
        <w:t>verify</w:t>
      </w:r>
      <w:r>
        <w:rPr>
          <w:rFonts w:ascii="Arial" w:hAnsi="Arial" w:cs="Arial"/>
        </w:rPr>
        <w:t xml:space="preserve"> identity. </w:t>
      </w:r>
      <w:r w:rsidR="00A8441B">
        <w:rPr>
          <w:rFonts w:ascii="Arial" w:hAnsi="Arial" w:cs="Arial"/>
        </w:rPr>
        <w:t>The Notice to the Profession dated July 27, 2023 and a</w:t>
      </w:r>
      <w:r>
        <w:rPr>
          <w:rFonts w:ascii="Arial" w:hAnsi="Arial" w:cs="Arial"/>
        </w:rPr>
        <w:t>dditional resources from the LSO can be found</w:t>
      </w:r>
      <w:r w:rsidR="00A8441B">
        <w:rPr>
          <w:rFonts w:ascii="Arial" w:hAnsi="Arial" w:cs="Arial"/>
        </w:rPr>
        <w:t xml:space="preserve"> </w:t>
      </w:r>
      <w:hyperlink r:id="rId10" w:history="1">
        <w:r w:rsidR="00A8441B" w:rsidRPr="00A8441B">
          <w:rPr>
            <w:rStyle w:val="Hyperlink"/>
            <w:rFonts w:ascii="Arial" w:hAnsi="Arial" w:cs="Arial"/>
          </w:rPr>
          <w:t>here</w:t>
        </w:r>
      </w:hyperlink>
      <w:r>
        <w:rPr>
          <w:rFonts w:ascii="Arial" w:hAnsi="Arial" w:cs="Arial"/>
        </w:rPr>
        <w:t xml:space="preserve">. </w:t>
      </w:r>
    </w:p>
    <w:p w14:paraId="07674DBB" w14:textId="524D6890" w:rsidR="00BC50C8" w:rsidRDefault="00BC50C8" w:rsidP="003F3FA2">
      <w:pPr>
        <w:jc w:val="both"/>
        <w:rPr>
          <w:rFonts w:ascii="Arial" w:hAnsi="Arial" w:cs="Arial"/>
        </w:rPr>
      </w:pPr>
      <w:r>
        <w:rPr>
          <w:rFonts w:ascii="Arial" w:hAnsi="Arial" w:cs="Arial"/>
        </w:rPr>
        <w:t xml:space="preserve">These enhanced rules will impact real estate lawyers specifically as our engagement is routinely to facilitate the transfer of funds for our clients. </w:t>
      </w:r>
      <w:r w:rsidR="0025791C">
        <w:rPr>
          <w:rFonts w:ascii="Arial" w:hAnsi="Arial" w:cs="Arial"/>
        </w:rPr>
        <w:t xml:space="preserve">Be on the </w:t>
      </w:r>
      <w:r w:rsidR="009D0C5F">
        <w:rPr>
          <w:rFonts w:ascii="Arial" w:hAnsi="Arial" w:cs="Arial"/>
        </w:rPr>
        <w:t>lookout</w:t>
      </w:r>
      <w:r w:rsidR="0025791C">
        <w:rPr>
          <w:rFonts w:ascii="Arial" w:hAnsi="Arial" w:cs="Arial"/>
        </w:rPr>
        <w:t xml:space="preserve"> for C</w:t>
      </w:r>
      <w:r w:rsidR="00A8441B">
        <w:rPr>
          <w:rFonts w:ascii="Arial" w:hAnsi="Arial" w:cs="Arial"/>
        </w:rPr>
        <w:t>PD</w:t>
      </w:r>
      <w:r w:rsidR="0025791C">
        <w:rPr>
          <w:rFonts w:ascii="Arial" w:hAnsi="Arial" w:cs="Arial"/>
        </w:rPr>
        <w:t xml:space="preserve"> programming in connection with this to better prepare yourself, your practice and your staff. </w:t>
      </w:r>
    </w:p>
    <w:p w14:paraId="05F06564" w14:textId="1ECAF7BB" w:rsidR="00E430C1" w:rsidRDefault="00E430C1" w:rsidP="003F3FA2">
      <w:pPr>
        <w:jc w:val="both"/>
        <w:rPr>
          <w:rFonts w:ascii="Arial" w:hAnsi="Arial" w:cs="Arial"/>
          <w:b/>
          <w:u w:val="single"/>
        </w:rPr>
      </w:pPr>
      <w:r>
        <w:rPr>
          <w:rFonts w:ascii="Arial" w:hAnsi="Arial" w:cs="Arial"/>
          <w:b/>
          <w:u w:val="single"/>
        </w:rPr>
        <w:t>MyTeraview.ca</w:t>
      </w:r>
    </w:p>
    <w:p w14:paraId="6B8E73E2" w14:textId="2BACA83E" w:rsidR="00E430C1" w:rsidRDefault="00E430C1" w:rsidP="003F3FA2">
      <w:pPr>
        <w:jc w:val="both"/>
        <w:rPr>
          <w:rFonts w:ascii="Arial" w:hAnsi="Arial" w:cs="Arial"/>
        </w:rPr>
      </w:pPr>
      <w:r w:rsidRPr="00E430C1">
        <w:rPr>
          <w:rFonts w:ascii="Arial" w:hAnsi="Arial" w:cs="Arial"/>
        </w:rPr>
        <w:t xml:space="preserve">As part of efforts to improve Teraview Account Management, certain </w:t>
      </w:r>
      <w:r w:rsidR="0071703F">
        <w:rPr>
          <w:rFonts w:ascii="Arial" w:hAnsi="Arial" w:cs="Arial"/>
        </w:rPr>
        <w:t xml:space="preserve">administrative </w:t>
      </w:r>
      <w:r w:rsidRPr="00E430C1">
        <w:rPr>
          <w:rFonts w:ascii="Arial" w:hAnsi="Arial" w:cs="Arial"/>
        </w:rPr>
        <w:t xml:space="preserve">services </w:t>
      </w:r>
      <w:r w:rsidR="0071703F">
        <w:rPr>
          <w:rFonts w:ascii="Arial" w:hAnsi="Arial" w:cs="Arial"/>
        </w:rPr>
        <w:t>have</w:t>
      </w:r>
      <w:r w:rsidRPr="00E430C1">
        <w:rPr>
          <w:rFonts w:ascii="Arial" w:hAnsi="Arial" w:cs="Arial"/>
        </w:rPr>
        <w:t xml:space="preserve"> mov</w:t>
      </w:r>
      <w:r w:rsidR="0071703F">
        <w:rPr>
          <w:rFonts w:ascii="Arial" w:hAnsi="Arial" w:cs="Arial"/>
        </w:rPr>
        <w:t>ed</w:t>
      </w:r>
      <w:r w:rsidRPr="00E430C1">
        <w:rPr>
          <w:rFonts w:ascii="Arial" w:hAnsi="Arial" w:cs="Arial"/>
        </w:rPr>
        <w:t xml:space="preserve"> online to </w:t>
      </w:r>
      <w:r w:rsidRPr="00E430C1">
        <w:rPr>
          <w:rFonts w:ascii="Arial" w:hAnsi="Arial" w:cs="Arial"/>
          <w:b/>
        </w:rPr>
        <w:t>MyTeraview.ca</w:t>
      </w:r>
      <w:r w:rsidRPr="00E430C1">
        <w:rPr>
          <w:rFonts w:ascii="Arial" w:hAnsi="Arial" w:cs="Arial"/>
        </w:rPr>
        <w:t xml:space="preserve"> starting </w:t>
      </w:r>
      <w:r w:rsidRPr="00E430C1">
        <w:rPr>
          <w:rFonts w:ascii="Arial" w:hAnsi="Arial" w:cs="Arial"/>
          <w:b/>
        </w:rPr>
        <w:t>December 1, 2023</w:t>
      </w:r>
      <w:r w:rsidRPr="00E430C1">
        <w:rPr>
          <w:rFonts w:ascii="Arial" w:hAnsi="Arial" w:cs="Arial"/>
        </w:rPr>
        <w:t>.</w:t>
      </w:r>
      <w:r>
        <w:rPr>
          <w:rFonts w:ascii="Arial" w:hAnsi="Arial" w:cs="Arial"/>
        </w:rPr>
        <w:t xml:space="preserve"> Although t</w:t>
      </w:r>
      <w:r w:rsidRPr="00E430C1">
        <w:rPr>
          <w:rFonts w:ascii="Arial" w:hAnsi="Arial" w:cs="Arial"/>
        </w:rPr>
        <w:t xml:space="preserve">his </w:t>
      </w:r>
      <w:r>
        <w:rPr>
          <w:rFonts w:ascii="Arial" w:hAnsi="Arial" w:cs="Arial"/>
        </w:rPr>
        <w:t>notice</w:t>
      </w:r>
      <w:r w:rsidRPr="00E430C1">
        <w:rPr>
          <w:rFonts w:ascii="Arial" w:hAnsi="Arial" w:cs="Arial"/>
        </w:rPr>
        <w:t xml:space="preserve"> was sent to Teraview </w:t>
      </w:r>
      <w:r>
        <w:rPr>
          <w:rFonts w:ascii="Arial" w:hAnsi="Arial" w:cs="Arial"/>
        </w:rPr>
        <w:t xml:space="preserve">Account Holder Representatives a few weeks ago, </w:t>
      </w:r>
      <w:r w:rsidRPr="00E430C1">
        <w:rPr>
          <w:rFonts w:ascii="Arial" w:hAnsi="Arial" w:cs="Arial"/>
        </w:rPr>
        <w:t>a newsletter is posted on t</w:t>
      </w:r>
      <w:r>
        <w:rPr>
          <w:rFonts w:ascii="Arial" w:hAnsi="Arial" w:cs="Arial"/>
        </w:rPr>
        <w:t xml:space="preserve">he Teraview website.  </w:t>
      </w:r>
      <w:r w:rsidRPr="00E430C1">
        <w:rPr>
          <w:rFonts w:ascii="Arial" w:hAnsi="Arial" w:cs="Arial"/>
        </w:rPr>
        <w:t xml:space="preserve">Members may email </w:t>
      </w:r>
      <w:r w:rsidRPr="00E430C1">
        <w:rPr>
          <w:rFonts w:ascii="Arial" w:hAnsi="Arial" w:cs="Arial"/>
          <w:u w:val="single"/>
        </w:rPr>
        <w:t>info@teraview.ca</w:t>
      </w:r>
      <w:r w:rsidRPr="00E430C1">
        <w:rPr>
          <w:rFonts w:ascii="Arial" w:hAnsi="Arial" w:cs="Arial"/>
        </w:rPr>
        <w:t xml:space="preserve"> </w:t>
      </w:r>
      <w:r>
        <w:rPr>
          <w:rFonts w:ascii="Arial" w:hAnsi="Arial" w:cs="Arial"/>
        </w:rPr>
        <w:t>with</w:t>
      </w:r>
      <w:r w:rsidRPr="00E430C1">
        <w:rPr>
          <w:rFonts w:ascii="Arial" w:hAnsi="Arial" w:cs="Arial"/>
        </w:rPr>
        <w:t xml:space="preserve"> any questions</w:t>
      </w:r>
      <w:r>
        <w:rPr>
          <w:rFonts w:ascii="Arial" w:hAnsi="Arial" w:cs="Arial"/>
        </w:rPr>
        <w:t>.</w:t>
      </w:r>
    </w:p>
    <w:p w14:paraId="19BF1DAE" w14:textId="176FF0C6" w:rsidR="00012418" w:rsidRPr="00012418" w:rsidRDefault="00012418" w:rsidP="003F3FA2">
      <w:pPr>
        <w:jc w:val="both"/>
        <w:rPr>
          <w:rFonts w:ascii="Arial" w:hAnsi="Arial" w:cs="Arial"/>
          <w:b/>
          <w:u w:val="single"/>
        </w:rPr>
      </w:pPr>
      <w:r w:rsidRPr="00012418">
        <w:rPr>
          <w:rFonts w:ascii="Arial" w:hAnsi="Arial" w:cs="Arial"/>
          <w:b/>
          <w:u w:val="single"/>
        </w:rPr>
        <w:t xml:space="preserve">Federal Government Mandatory Disclosure Rules &amp; </w:t>
      </w:r>
      <w:r>
        <w:rPr>
          <w:rFonts w:ascii="Arial" w:hAnsi="Arial" w:cs="Arial"/>
          <w:b/>
          <w:u w:val="single"/>
        </w:rPr>
        <w:t>Injunction</w:t>
      </w:r>
    </w:p>
    <w:p w14:paraId="117B50CD" w14:textId="1F5D0243" w:rsidR="00012418" w:rsidRDefault="00012418" w:rsidP="000264C0">
      <w:pPr>
        <w:jc w:val="both"/>
        <w:rPr>
          <w:rFonts w:ascii="Arial" w:hAnsi="Arial" w:cs="Arial"/>
          <w:bCs/>
        </w:rPr>
      </w:pPr>
      <w:r>
        <w:rPr>
          <w:rFonts w:ascii="Arial" w:hAnsi="Arial" w:cs="Arial"/>
          <w:bCs/>
        </w:rPr>
        <w:t xml:space="preserve">On June 22, 2023, the federal government passed mandatory disclosure rules for specified ‘reportable transactions’, which are avoidance transactions coupled with a contingent fee arrangement, confidential protection or a contractual protection. These rules would apply to legal advisors, even if the transaction was reported by other advisors, such as accountants. </w:t>
      </w:r>
    </w:p>
    <w:p w14:paraId="4E2C94AA" w14:textId="2B830FE5" w:rsidR="00012418" w:rsidRDefault="00012418" w:rsidP="000264C0">
      <w:pPr>
        <w:jc w:val="both"/>
        <w:rPr>
          <w:rFonts w:ascii="Arial" w:hAnsi="Arial" w:cs="Arial"/>
          <w:bCs/>
        </w:rPr>
      </w:pPr>
      <w:r>
        <w:rPr>
          <w:rFonts w:ascii="Arial" w:hAnsi="Arial" w:cs="Arial"/>
          <w:bCs/>
        </w:rPr>
        <w:lastRenderedPageBreak/>
        <w:t xml:space="preserve">On November 24, 2023, the Supreme Court of British Columbia granted an interlocutory injunction prohibiting these disclosure rules for legal professionals pending a determination on the constitutionality of the mandatory disclosure rules (to be heard at a later date). </w:t>
      </w:r>
    </w:p>
    <w:p w14:paraId="5E0596C3" w14:textId="4772AB84" w:rsidR="00012418" w:rsidRDefault="00012418" w:rsidP="000264C0">
      <w:pPr>
        <w:jc w:val="both"/>
        <w:rPr>
          <w:rFonts w:ascii="Arial" w:hAnsi="Arial" w:cs="Arial"/>
          <w:bCs/>
        </w:rPr>
      </w:pPr>
      <w:r>
        <w:rPr>
          <w:rFonts w:ascii="Arial" w:hAnsi="Arial" w:cs="Arial"/>
          <w:b/>
          <w:u w:val="single"/>
        </w:rPr>
        <w:t xml:space="preserve">Federal </w:t>
      </w:r>
      <w:r w:rsidRPr="00012418">
        <w:rPr>
          <w:rFonts w:ascii="Arial" w:hAnsi="Arial" w:cs="Arial"/>
          <w:b/>
          <w:u w:val="single"/>
        </w:rPr>
        <w:t>Trust Reporting Requirements 2023</w:t>
      </w:r>
    </w:p>
    <w:p w14:paraId="43029001" w14:textId="567DCEA6" w:rsidR="00012418" w:rsidRDefault="00012418" w:rsidP="000264C0">
      <w:pPr>
        <w:jc w:val="both"/>
        <w:rPr>
          <w:rFonts w:ascii="Arial" w:hAnsi="Arial" w:cs="Arial"/>
          <w:bCs/>
        </w:rPr>
      </w:pPr>
      <w:r>
        <w:rPr>
          <w:rFonts w:ascii="Arial" w:hAnsi="Arial" w:cs="Arial"/>
          <w:bCs/>
        </w:rPr>
        <w:t xml:space="preserve">The federal government has added new reporting requirements for trusts as of December 31, 2023, requiring all trusts (except for limited identified exceptions) to file T3 returns and a Schedule 15 report in connection with the trust property, </w:t>
      </w:r>
      <w:r w:rsidR="003D2023">
        <w:rPr>
          <w:rFonts w:ascii="Arial" w:hAnsi="Arial" w:cs="Arial"/>
          <w:bCs/>
        </w:rPr>
        <w:t>beneficial</w:t>
      </w:r>
      <w:r>
        <w:rPr>
          <w:rFonts w:ascii="Arial" w:hAnsi="Arial" w:cs="Arial"/>
          <w:bCs/>
        </w:rPr>
        <w:t xml:space="preserve"> owners and income derived therefrom. The reporting requirements are overly broad and will attach to situations where a family member is added to title as a joint tenant without acquiring a </w:t>
      </w:r>
      <w:r w:rsidR="003D2023">
        <w:rPr>
          <w:rFonts w:ascii="Arial" w:hAnsi="Arial" w:cs="Arial"/>
          <w:bCs/>
        </w:rPr>
        <w:t>beneficial</w:t>
      </w:r>
      <w:r>
        <w:rPr>
          <w:rFonts w:ascii="Arial" w:hAnsi="Arial" w:cs="Arial"/>
          <w:bCs/>
        </w:rPr>
        <w:t xml:space="preserve"> interest in the property (</w:t>
      </w:r>
      <w:r w:rsidR="003D2023">
        <w:rPr>
          <w:rFonts w:ascii="Arial" w:hAnsi="Arial" w:cs="Arial"/>
          <w:bCs/>
        </w:rPr>
        <w:t>i.e.</w:t>
      </w:r>
      <w:r>
        <w:rPr>
          <w:rFonts w:ascii="Arial" w:hAnsi="Arial" w:cs="Arial"/>
          <w:bCs/>
        </w:rPr>
        <w:t xml:space="preserve"> Historical estate planning tools). These trusts (by their trustees) will need to report within 90 days of year end (</w:t>
      </w:r>
      <w:r w:rsidR="003D2023">
        <w:rPr>
          <w:rFonts w:ascii="Arial" w:hAnsi="Arial" w:cs="Arial"/>
          <w:bCs/>
        </w:rPr>
        <w:t>I.e.</w:t>
      </w:r>
      <w:r>
        <w:rPr>
          <w:rFonts w:ascii="Arial" w:hAnsi="Arial" w:cs="Arial"/>
          <w:bCs/>
        </w:rPr>
        <w:t xml:space="preserve"> April 2, 2024). This could have sweeping implications on how many estates and real estate lawyers advise their clients and care should be taken to review the new rules and to determine if trust indentures should be a regular part of your offerings to clients who seek to add family members to bank accounts or real property. </w:t>
      </w:r>
    </w:p>
    <w:p w14:paraId="3178B82E" w14:textId="774F04E4" w:rsidR="00012418" w:rsidRDefault="00012418" w:rsidP="000264C0">
      <w:pPr>
        <w:jc w:val="both"/>
        <w:rPr>
          <w:rFonts w:ascii="Arial" w:hAnsi="Arial" w:cs="Arial"/>
          <w:bCs/>
        </w:rPr>
      </w:pPr>
      <w:r>
        <w:rPr>
          <w:rFonts w:ascii="Arial" w:hAnsi="Arial" w:cs="Arial"/>
          <w:bCs/>
        </w:rPr>
        <w:t xml:space="preserve">These rules will also apply to trust accounts opened by lawyers/paralegals maintained as a separate trust for a particular client/clients or purpose. General trust accounts are NOT covered by these rules. The Federal Government’s FAQ on this can be reviewed </w:t>
      </w:r>
      <w:hyperlink r:id="rId11" w:history="1">
        <w:r w:rsidRPr="00012418">
          <w:rPr>
            <w:rStyle w:val="Hyperlink"/>
            <w:rFonts w:ascii="Arial" w:hAnsi="Arial" w:cs="Arial"/>
            <w:bCs/>
          </w:rPr>
          <w:t>here</w:t>
        </w:r>
      </w:hyperlink>
      <w:r>
        <w:rPr>
          <w:rFonts w:ascii="Arial" w:hAnsi="Arial" w:cs="Arial"/>
          <w:bCs/>
        </w:rPr>
        <w:t xml:space="preserve">. </w:t>
      </w:r>
    </w:p>
    <w:p w14:paraId="21751FCF" w14:textId="77777777" w:rsidR="00012418" w:rsidRPr="00012418" w:rsidRDefault="00012418" w:rsidP="000264C0">
      <w:pPr>
        <w:jc w:val="both"/>
        <w:rPr>
          <w:rFonts w:ascii="Arial" w:hAnsi="Arial" w:cs="Arial"/>
          <w:bCs/>
        </w:rPr>
      </w:pPr>
    </w:p>
    <w:p w14:paraId="5A43961C" w14:textId="3BC50C72" w:rsidR="0071703F" w:rsidRDefault="0071703F" w:rsidP="000264C0">
      <w:pPr>
        <w:jc w:val="both"/>
        <w:rPr>
          <w:rFonts w:ascii="Arial" w:hAnsi="Arial" w:cs="Arial"/>
          <w:b/>
          <w:bCs/>
          <w:u w:val="single"/>
        </w:rPr>
      </w:pPr>
      <w:r>
        <w:rPr>
          <w:rFonts w:ascii="Arial" w:hAnsi="Arial" w:cs="Arial"/>
          <w:b/>
          <w:bCs/>
          <w:u w:val="single"/>
        </w:rPr>
        <w:t>Bulletin 2023-08</w:t>
      </w:r>
    </w:p>
    <w:p w14:paraId="2068D0D0" w14:textId="2F6800D3" w:rsidR="0071703F" w:rsidRPr="0071703F" w:rsidRDefault="0071703F" w:rsidP="000264C0">
      <w:pPr>
        <w:jc w:val="both"/>
        <w:rPr>
          <w:rFonts w:ascii="Arial" w:hAnsi="Arial" w:cs="Arial"/>
          <w:bCs/>
        </w:rPr>
      </w:pPr>
      <w:r>
        <w:rPr>
          <w:rFonts w:ascii="Arial" w:hAnsi="Arial" w:cs="Arial"/>
          <w:bCs/>
        </w:rPr>
        <w:t xml:space="preserve">Effective December 9, 2023, there is a new mandatory statement (75) for all Charges/Mortgages instruments which confirms that added or imported text/schedules are legible and relate to the parties of the Charge. If you have a Charge in preparation prior to December 9, but attempt to register it on or after December 9, the mandatory statement must be selected before registration will be permitted. </w:t>
      </w:r>
    </w:p>
    <w:p w14:paraId="5641EFF3" w14:textId="3EC9AECC" w:rsidR="00642313" w:rsidRPr="00642313" w:rsidRDefault="00642313" w:rsidP="000264C0">
      <w:pPr>
        <w:jc w:val="both"/>
        <w:rPr>
          <w:rFonts w:ascii="Arial" w:hAnsi="Arial" w:cs="Arial"/>
          <w:b/>
          <w:bCs/>
          <w:u w:val="single"/>
        </w:rPr>
      </w:pPr>
      <w:r w:rsidRPr="00642313">
        <w:rPr>
          <w:rFonts w:ascii="Arial" w:hAnsi="Arial" w:cs="Arial"/>
          <w:b/>
          <w:bCs/>
          <w:u w:val="single"/>
        </w:rPr>
        <w:t xml:space="preserve">Reminder – DRA has been updated </w:t>
      </w:r>
    </w:p>
    <w:p w14:paraId="4BB60DAF" w14:textId="53FC77E6" w:rsidR="00642313" w:rsidRDefault="00642313" w:rsidP="0010144E">
      <w:pPr>
        <w:jc w:val="both"/>
        <w:rPr>
          <w:rFonts w:ascii="Arial" w:hAnsi="Arial" w:cs="Arial"/>
        </w:rPr>
      </w:pPr>
      <w:r w:rsidRPr="00642313">
        <w:rPr>
          <w:rFonts w:ascii="Arial" w:hAnsi="Arial" w:cs="Arial"/>
        </w:rPr>
        <w:t xml:space="preserve">The Document Registration Agreement and Multi-Party Document Registration Agreement have been updated and published on the Law Society of Ontario’s website. The updated DRA and Multi-Party DRA are available in word </w:t>
      </w:r>
      <w:hyperlink r:id="rId12" w:history="1">
        <w:r w:rsidRPr="00642313">
          <w:rPr>
            <w:rStyle w:val="Hyperlink"/>
            <w:rFonts w:ascii="Arial" w:hAnsi="Arial" w:cs="Arial"/>
            <w:b/>
            <w:bCs/>
          </w:rPr>
          <w:t>here</w:t>
        </w:r>
      </w:hyperlink>
      <w:r>
        <w:rPr>
          <w:rFonts w:ascii="Arial" w:hAnsi="Arial" w:cs="Arial"/>
        </w:rPr>
        <w:t xml:space="preserve">. </w:t>
      </w:r>
      <w:r w:rsidR="004A57C9">
        <w:rPr>
          <w:rFonts w:ascii="Arial" w:hAnsi="Arial" w:cs="Arial"/>
        </w:rPr>
        <w:t xml:space="preserve"> </w:t>
      </w:r>
      <w:r w:rsidRPr="00642313">
        <w:rPr>
          <w:rFonts w:ascii="Arial" w:hAnsi="Arial" w:cs="Arial"/>
        </w:rPr>
        <w:t xml:space="preserve">We encourage you to review </w:t>
      </w:r>
      <w:r w:rsidR="0010144E">
        <w:rPr>
          <w:rFonts w:ascii="Arial" w:hAnsi="Arial" w:cs="Arial"/>
        </w:rPr>
        <w:t xml:space="preserve">and implement </w:t>
      </w:r>
      <w:r w:rsidRPr="00642313">
        <w:rPr>
          <w:rFonts w:ascii="Arial" w:hAnsi="Arial" w:cs="Arial"/>
        </w:rPr>
        <w:t>the updated DRA and Multi-Party DRA</w:t>
      </w:r>
      <w:r w:rsidR="004A57C9">
        <w:rPr>
          <w:rFonts w:ascii="Arial" w:hAnsi="Arial" w:cs="Arial"/>
        </w:rPr>
        <w:t xml:space="preserve"> on your files and in your correspondence when you refer to same to be incorporated by reference.</w:t>
      </w:r>
      <w:r w:rsidRPr="00642313">
        <w:rPr>
          <w:rFonts w:ascii="Arial" w:hAnsi="Arial" w:cs="Arial"/>
        </w:rPr>
        <w:t xml:space="preserve"> </w:t>
      </w:r>
    </w:p>
    <w:p w14:paraId="58A567EA" w14:textId="571D8B5E" w:rsidR="00A8441B" w:rsidRDefault="00A8441B" w:rsidP="00A8441B">
      <w:pPr>
        <w:spacing w:after="0" w:line="240" w:lineRule="auto"/>
        <w:jc w:val="both"/>
        <w:rPr>
          <w:rFonts w:ascii="Arial" w:hAnsi="Arial" w:cs="Arial"/>
          <w:b/>
          <w:bCs/>
          <w:u w:val="single"/>
        </w:rPr>
      </w:pPr>
      <w:r w:rsidRPr="00A8441B">
        <w:rPr>
          <w:rFonts w:ascii="Arial" w:hAnsi="Arial" w:cs="Arial"/>
          <w:b/>
          <w:bCs/>
          <w:u w:val="single"/>
        </w:rPr>
        <w:t>Underused Ho</w:t>
      </w:r>
      <w:r w:rsidR="009577EA">
        <w:rPr>
          <w:rFonts w:ascii="Arial" w:hAnsi="Arial" w:cs="Arial"/>
          <w:b/>
          <w:bCs/>
          <w:u w:val="single"/>
        </w:rPr>
        <w:t xml:space="preserve">using </w:t>
      </w:r>
      <w:r w:rsidRPr="00A8441B">
        <w:rPr>
          <w:rFonts w:ascii="Arial" w:hAnsi="Arial" w:cs="Arial"/>
          <w:b/>
          <w:bCs/>
          <w:u w:val="single"/>
        </w:rPr>
        <w:t>Tax (Canada)</w:t>
      </w:r>
    </w:p>
    <w:p w14:paraId="619C3A87" w14:textId="3962C065" w:rsidR="00A8441B" w:rsidRDefault="00A8441B" w:rsidP="00A8441B">
      <w:pPr>
        <w:spacing w:after="0" w:line="240" w:lineRule="auto"/>
        <w:jc w:val="both"/>
        <w:rPr>
          <w:rFonts w:ascii="Arial" w:hAnsi="Arial" w:cs="Arial"/>
          <w:b/>
          <w:bCs/>
          <w:u w:val="single"/>
        </w:rPr>
      </w:pPr>
    </w:p>
    <w:p w14:paraId="1C7BB32B" w14:textId="2530327F" w:rsidR="00A8441B" w:rsidRDefault="009577EA" w:rsidP="00A8441B">
      <w:pPr>
        <w:spacing w:after="0" w:line="240" w:lineRule="auto"/>
        <w:jc w:val="both"/>
        <w:rPr>
          <w:rFonts w:ascii="Arial" w:hAnsi="Arial" w:cs="Arial"/>
          <w:bCs/>
        </w:rPr>
      </w:pPr>
      <w:r>
        <w:rPr>
          <w:rFonts w:ascii="Arial" w:hAnsi="Arial" w:cs="Arial"/>
          <w:bCs/>
        </w:rPr>
        <w:t xml:space="preserve">The Federal Government passed the underused housing tax in June, effective January 1, 2022, such that reporting and payment of tax on underusing housing was payable on April 30, 2023 for the 2022 calendar year. CRA extended a penalty/interest-free period to </w:t>
      </w:r>
      <w:r w:rsidRPr="009577EA">
        <w:rPr>
          <w:rFonts w:ascii="Arial" w:hAnsi="Arial" w:cs="Arial"/>
          <w:bCs/>
          <w:u w:val="single"/>
        </w:rPr>
        <w:t>November 1, 2023</w:t>
      </w:r>
      <w:r>
        <w:rPr>
          <w:rFonts w:ascii="Arial" w:hAnsi="Arial" w:cs="Arial"/>
          <w:bCs/>
        </w:rPr>
        <w:t xml:space="preserve"> for reporting and payment of this tax</w:t>
      </w:r>
      <w:r w:rsidR="00465577">
        <w:rPr>
          <w:rFonts w:ascii="Arial" w:hAnsi="Arial" w:cs="Arial"/>
          <w:bCs/>
        </w:rPr>
        <w:t xml:space="preserve"> but on October 31, 2023 CRA has further extended this to </w:t>
      </w:r>
      <w:r w:rsidR="00465577" w:rsidRPr="00465577">
        <w:rPr>
          <w:rFonts w:ascii="Arial" w:hAnsi="Arial" w:cs="Arial"/>
          <w:b/>
          <w:bCs/>
        </w:rPr>
        <w:t>April 30, 2024</w:t>
      </w:r>
      <w:r>
        <w:rPr>
          <w:rFonts w:ascii="Arial" w:hAnsi="Arial" w:cs="Arial"/>
          <w:bCs/>
        </w:rPr>
        <w:t xml:space="preserve">. The tax largely affects non-Canadians and non-residents but could be applicable to </w:t>
      </w:r>
      <w:r w:rsidR="00465577">
        <w:rPr>
          <w:rFonts w:ascii="Arial" w:hAnsi="Arial" w:cs="Arial"/>
          <w:bCs/>
        </w:rPr>
        <w:t>citizens</w:t>
      </w:r>
      <w:r w:rsidR="00D337AA">
        <w:rPr>
          <w:rFonts w:ascii="Arial" w:hAnsi="Arial" w:cs="Arial"/>
          <w:bCs/>
        </w:rPr>
        <w:t>/residents</w:t>
      </w:r>
      <w:r w:rsidR="00465577">
        <w:rPr>
          <w:rFonts w:ascii="Arial" w:hAnsi="Arial" w:cs="Arial"/>
          <w:bCs/>
        </w:rPr>
        <w:t xml:space="preserve"> as well</w:t>
      </w:r>
      <w:r>
        <w:rPr>
          <w:rFonts w:ascii="Arial" w:hAnsi="Arial" w:cs="Arial"/>
          <w:bCs/>
        </w:rPr>
        <w:t xml:space="preserve">. You can review the legislation </w:t>
      </w:r>
      <w:hyperlink r:id="rId13" w:history="1">
        <w:r w:rsidRPr="009577EA">
          <w:rPr>
            <w:rStyle w:val="Hyperlink"/>
            <w:rFonts w:ascii="Arial" w:hAnsi="Arial" w:cs="Arial"/>
            <w:bCs/>
          </w:rPr>
          <w:t>here</w:t>
        </w:r>
      </w:hyperlink>
      <w:r w:rsidR="00465577">
        <w:rPr>
          <w:rFonts w:ascii="Arial" w:hAnsi="Arial" w:cs="Arial"/>
          <w:bCs/>
        </w:rPr>
        <w:t>. The new legislation</w:t>
      </w:r>
      <w:r>
        <w:rPr>
          <w:rFonts w:ascii="Arial" w:hAnsi="Arial" w:cs="Arial"/>
          <w:bCs/>
        </w:rPr>
        <w:t xml:space="preserve"> imposes a tax of 1% of the assessed value or the most recent purchase/sale price, whichever is greater. CRA has the right to lien the property for non-payment. </w:t>
      </w:r>
    </w:p>
    <w:p w14:paraId="450DFB1E" w14:textId="380A15B5" w:rsidR="00012418" w:rsidRDefault="00012418" w:rsidP="00A8441B">
      <w:pPr>
        <w:spacing w:after="0" w:line="240" w:lineRule="auto"/>
        <w:jc w:val="both"/>
        <w:rPr>
          <w:rFonts w:ascii="Arial" w:hAnsi="Arial" w:cs="Arial"/>
          <w:bCs/>
        </w:rPr>
      </w:pPr>
    </w:p>
    <w:p w14:paraId="75EF9A37" w14:textId="5BD11127" w:rsidR="00012418" w:rsidRDefault="00012418" w:rsidP="00A8441B">
      <w:pPr>
        <w:spacing w:after="0" w:line="240" w:lineRule="auto"/>
        <w:jc w:val="both"/>
        <w:rPr>
          <w:rFonts w:ascii="Arial" w:hAnsi="Arial" w:cs="Arial"/>
          <w:bCs/>
        </w:rPr>
      </w:pPr>
    </w:p>
    <w:p w14:paraId="7E8BE140" w14:textId="77777777" w:rsidR="00012418" w:rsidRDefault="00012418" w:rsidP="00A8441B">
      <w:pPr>
        <w:spacing w:after="0" w:line="240" w:lineRule="auto"/>
        <w:jc w:val="both"/>
        <w:rPr>
          <w:rFonts w:ascii="Arial" w:hAnsi="Arial" w:cs="Arial"/>
          <w:bCs/>
        </w:rPr>
      </w:pPr>
    </w:p>
    <w:p w14:paraId="49111379" w14:textId="7E96E286" w:rsidR="00465577" w:rsidRDefault="00465577" w:rsidP="00A8441B">
      <w:pPr>
        <w:spacing w:after="0" w:line="240" w:lineRule="auto"/>
        <w:jc w:val="both"/>
        <w:rPr>
          <w:rFonts w:ascii="Arial" w:hAnsi="Arial" w:cs="Arial"/>
          <w:bCs/>
        </w:rPr>
      </w:pPr>
    </w:p>
    <w:p w14:paraId="7D7D2669" w14:textId="5D399E0E" w:rsidR="00465577" w:rsidRPr="00465577" w:rsidRDefault="00465577" w:rsidP="00A8441B">
      <w:pPr>
        <w:spacing w:after="0" w:line="240" w:lineRule="auto"/>
        <w:jc w:val="both"/>
        <w:rPr>
          <w:rFonts w:ascii="Arial" w:hAnsi="Arial" w:cs="Arial"/>
          <w:b/>
          <w:bCs/>
          <w:u w:val="single"/>
        </w:rPr>
      </w:pPr>
      <w:r w:rsidRPr="00465577">
        <w:rPr>
          <w:rFonts w:ascii="Arial" w:hAnsi="Arial" w:cs="Arial"/>
          <w:b/>
          <w:bCs/>
          <w:u w:val="single"/>
        </w:rPr>
        <w:lastRenderedPageBreak/>
        <w:t>Class Action Settlement (Dye &amp; Durham/Closure)</w:t>
      </w:r>
    </w:p>
    <w:p w14:paraId="326F7E31" w14:textId="1870B5B9" w:rsidR="00187C42" w:rsidRDefault="00187C42" w:rsidP="000264C0">
      <w:pPr>
        <w:spacing w:after="0" w:line="240" w:lineRule="auto"/>
        <w:jc w:val="both"/>
        <w:rPr>
          <w:rFonts w:ascii="Arial" w:hAnsi="Arial" w:cs="Arial"/>
        </w:rPr>
      </w:pPr>
    </w:p>
    <w:p w14:paraId="36F829CA" w14:textId="2F72DC4A" w:rsidR="00465577" w:rsidRDefault="00465577" w:rsidP="000264C0">
      <w:pPr>
        <w:spacing w:after="0" w:line="240" w:lineRule="auto"/>
        <w:jc w:val="both"/>
        <w:rPr>
          <w:rFonts w:ascii="Arial" w:hAnsi="Arial" w:cs="Arial"/>
        </w:rPr>
      </w:pPr>
      <w:r>
        <w:rPr>
          <w:rFonts w:ascii="Arial" w:hAnsi="Arial" w:cs="Arial"/>
        </w:rPr>
        <w:t xml:space="preserve">In </w:t>
      </w:r>
      <w:r w:rsidRPr="00465577">
        <w:rPr>
          <w:rFonts w:ascii="Arial" w:hAnsi="Arial" w:cs="Arial"/>
          <w:i/>
        </w:rPr>
        <w:t>Burford Law Professional Corporate, et al v. Dye &amp; Durham Limited</w:t>
      </w:r>
      <w:r>
        <w:rPr>
          <w:rFonts w:ascii="Arial" w:hAnsi="Arial" w:cs="Arial"/>
        </w:rPr>
        <w:t xml:space="preserve">, et al (2023 ONSC 6008), Justice Morgan approved the settlement of the parties to </w:t>
      </w:r>
      <w:r w:rsidR="00EF30DE">
        <w:rPr>
          <w:rFonts w:ascii="Arial" w:hAnsi="Arial" w:cs="Arial"/>
        </w:rPr>
        <w:t>dismiss</w:t>
      </w:r>
      <w:r>
        <w:rPr>
          <w:rFonts w:ascii="Arial" w:hAnsi="Arial" w:cs="Arial"/>
        </w:rPr>
        <w:t xml:space="preserve"> the certification application on a without costs basis. The settlement can be found </w:t>
      </w:r>
      <w:hyperlink r:id="rId14" w:history="1">
        <w:r w:rsidRPr="00465577">
          <w:rPr>
            <w:rStyle w:val="Hyperlink"/>
            <w:rFonts w:ascii="Arial" w:hAnsi="Arial" w:cs="Arial"/>
          </w:rPr>
          <w:t>here</w:t>
        </w:r>
      </w:hyperlink>
      <w:r>
        <w:rPr>
          <w:rFonts w:ascii="Arial" w:hAnsi="Arial" w:cs="Arial"/>
        </w:rPr>
        <w:t xml:space="preserve">. It is without prejudice to any other potential litigant to bring his/her/their own claim within the limitation period. The settlement found that there was </w:t>
      </w:r>
      <w:r w:rsidR="00D337AA">
        <w:rPr>
          <w:rFonts w:ascii="Arial" w:hAnsi="Arial" w:cs="Arial"/>
        </w:rPr>
        <w:t>insufficient</w:t>
      </w:r>
      <w:r>
        <w:rPr>
          <w:rFonts w:ascii="Arial" w:hAnsi="Arial" w:cs="Arial"/>
        </w:rPr>
        <w:t xml:space="preserve"> evidence to suggest that lawyers were suffering the loss/damage attributed to the increased fees charged by the Unity software, suggesting (without evidence) that most lawyers were or would pass those costs onto their clients, who would be the actual aggrieved parties (although those parties would not have the means to </w:t>
      </w:r>
      <w:r w:rsidR="00D337AA">
        <w:rPr>
          <w:rFonts w:ascii="Arial" w:hAnsi="Arial" w:cs="Arial"/>
        </w:rPr>
        <w:t>contractually</w:t>
      </w:r>
      <w:r>
        <w:rPr>
          <w:rFonts w:ascii="Arial" w:hAnsi="Arial" w:cs="Arial"/>
        </w:rPr>
        <w:t xml:space="preserve"> engage with Dye &amp; Durham in any event). Please notify your membership of this decision. </w:t>
      </w:r>
    </w:p>
    <w:p w14:paraId="5EE4863F" w14:textId="77777777" w:rsidR="00465577" w:rsidRDefault="00465577" w:rsidP="000264C0">
      <w:pPr>
        <w:spacing w:after="0" w:line="240" w:lineRule="auto"/>
        <w:jc w:val="both"/>
        <w:rPr>
          <w:rFonts w:ascii="Arial" w:hAnsi="Arial" w:cs="Arial"/>
        </w:rPr>
      </w:pPr>
    </w:p>
    <w:p w14:paraId="525277B5" w14:textId="208892AB" w:rsidR="00E362B6" w:rsidRPr="00642313" w:rsidRDefault="005073E0" w:rsidP="000264C0">
      <w:pPr>
        <w:spacing w:after="0" w:line="240" w:lineRule="auto"/>
        <w:jc w:val="both"/>
        <w:rPr>
          <w:rFonts w:ascii="Arial" w:hAnsi="Arial" w:cs="Arial"/>
        </w:rPr>
      </w:pPr>
      <w:r w:rsidRPr="00642313">
        <w:rPr>
          <w:rFonts w:ascii="Arial" w:hAnsi="Arial" w:cs="Arial"/>
        </w:rPr>
        <w:t xml:space="preserve">If and when we receive further information of interest to the real estate bar, we will pass it along. </w:t>
      </w:r>
      <w:r w:rsidR="00E362B6" w:rsidRPr="00642313">
        <w:rPr>
          <w:rFonts w:ascii="Arial" w:hAnsi="Arial" w:cs="Arial"/>
        </w:rPr>
        <w:t xml:space="preserve"> </w:t>
      </w:r>
    </w:p>
    <w:p w14:paraId="34E340C5" w14:textId="77777777" w:rsidR="00E362B6" w:rsidRPr="00642313" w:rsidRDefault="00E362B6" w:rsidP="000264C0">
      <w:pPr>
        <w:spacing w:after="0" w:line="240" w:lineRule="auto"/>
        <w:jc w:val="both"/>
        <w:rPr>
          <w:rFonts w:ascii="Arial" w:hAnsi="Arial" w:cs="Arial"/>
        </w:rPr>
      </w:pPr>
    </w:p>
    <w:p w14:paraId="4BABD0D1" w14:textId="40C73258" w:rsidR="001D1989" w:rsidRPr="00642313" w:rsidRDefault="00E362B6" w:rsidP="000264C0">
      <w:pPr>
        <w:spacing w:after="0" w:line="240" w:lineRule="auto"/>
        <w:jc w:val="both"/>
        <w:rPr>
          <w:rFonts w:ascii="Arial" w:hAnsi="Arial" w:cs="Arial"/>
          <w:i/>
          <w:iCs/>
        </w:rPr>
      </w:pPr>
      <w:r w:rsidRPr="00642313">
        <w:rPr>
          <w:rFonts w:ascii="Arial" w:hAnsi="Arial" w:cs="Arial"/>
        </w:rPr>
        <w:t xml:space="preserve">Stay up to date with FOLA’s real estate information at </w:t>
      </w:r>
      <w:hyperlink r:id="rId15" w:history="1">
        <w:r w:rsidRPr="00642313">
          <w:rPr>
            <w:rStyle w:val="Hyperlink"/>
            <w:rFonts w:ascii="Arial" w:hAnsi="Arial" w:cs="Arial"/>
          </w:rPr>
          <w:t>https://fola.ca/real-estate-law</w:t>
        </w:r>
      </w:hyperlink>
      <w:r w:rsidRPr="00642313">
        <w:rPr>
          <w:rFonts w:ascii="Arial" w:hAnsi="Arial" w:cs="Arial"/>
        </w:rPr>
        <w:t xml:space="preserve">. </w:t>
      </w:r>
    </w:p>
    <w:p w14:paraId="04C0157D" w14:textId="245246E7" w:rsidR="00E362B6" w:rsidRDefault="00E362B6" w:rsidP="000264C0">
      <w:pPr>
        <w:spacing w:after="0" w:line="240" w:lineRule="auto"/>
        <w:jc w:val="both"/>
        <w:rPr>
          <w:rFonts w:ascii="Arial" w:hAnsi="Arial" w:cs="Arial"/>
          <w:i/>
          <w:iCs/>
        </w:rPr>
      </w:pPr>
    </w:p>
    <w:p w14:paraId="0376C6AA" w14:textId="4DCB7F37" w:rsidR="002D58FE" w:rsidRDefault="002D58FE" w:rsidP="000264C0">
      <w:pPr>
        <w:spacing w:after="0" w:line="240" w:lineRule="auto"/>
        <w:jc w:val="both"/>
        <w:rPr>
          <w:rFonts w:ascii="Arial" w:hAnsi="Arial" w:cs="Arial"/>
          <w:i/>
          <w:iCs/>
        </w:rPr>
      </w:pPr>
    </w:p>
    <w:p w14:paraId="12DC3880" w14:textId="77777777" w:rsidR="002D58FE" w:rsidRPr="00642313" w:rsidRDefault="002D58FE" w:rsidP="000264C0">
      <w:pPr>
        <w:spacing w:after="0" w:line="240" w:lineRule="auto"/>
        <w:jc w:val="both"/>
        <w:rPr>
          <w:rFonts w:ascii="Arial" w:hAnsi="Arial" w:cs="Arial"/>
          <w:i/>
          <w:iCs/>
        </w:rPr>
      </w:pPr>
    </w:p>
    <w:p w14:paraId="7D30045E" w14:textId="1C72ED94" w:rsidR="005073E0" w:rsidRPr="00642313" w:rsidRDefault="0010144E" w:rsidP="000264C0">
      <w:pPr>
        <w:spacing w:after="0" w:line="240" w:lineRule="auto"/>
        <w:jc w:val="both"/>
        <w:rPr>
          <w:rFonts w:ascii="Arial" w:hAnsi="Arial" w:cs="Arial"/>
          <w:i/>
          <w:iCs/>
        </w:rPr>
      </w:pPr>
      <w:r>
        <w:rPr>
          <w:rFonts w:ascii="Arial" w:hAnsi="Arial" w:cs="Arial"/>
          <w:i/>
          <w:iCs/>
        </w:rPr>
        <w:t>Mark Giavedoni</w:t>
      </w:r>
    </w:p>
    <w:p w14:paraId="36249418" w14:textId="5818D30C" w:rsidR="005073E0" w:rsidRPr="00642313" w:rsidRDefault="005073E0" w:rsidP="000264C0">
      <w:pPr>
        <w:spacing w:after="0" w:line="240" w:lineRule="auto"/>
        <w:jc w:val="both"/>
        <w:rPr>
          <w:rFonts w:ascii="Arial" w:hAnsi="Arial" w:cs="Arial"/>
        </w:rPr>
      </w:pPr>
      <w:r w:rsidRPr="00642313">
        <w:rPr>
          <w:rFonts w:ascii="Arial" w:hAnsi="Arial" w:cs="Arial"/>
        </w:rPr>
        <w:t xml:space="preserve">FOLA Real Estate </w:t>
      </w:r>
      <w:r w:rsidR="004A57C9">
        <w:rPr>
          <w:rFonts w:ascii="Arial" w:hAnsi="Arial" w:cs="Arial"/>
        </w:rPr>
        <w:t>Chair</w:t>
      </w:r>
    </w:p>
    <w:p w14:paraId="70D12D9E" w14:textId="77777777" w:rsidR="001D1989" w:rsidRPr="00642313" w:rsidRDefault="001D1989" w:rsidP="000264C0">
      <w:pPr>
        <w:pStyle w:val="FootnoteText"/>
        <w:jc w:val="both"/>
        <w:rPr>
          <w:rFonts w:ascii="Arial" w:hAnsi="Arial" w:cs="Arial"/>
          <w:sz w:val="22"/>
          <w:szCs w:val="22"/>
        </w:rPr>
      </w:pPr>
    </w:p>
    <w:p w14:paraId="2E379018" w14:textId="621B186E" w:rsidR="00E77BA0" w:rsidRPr="00642313" w:rsidRDefault="005073E0" w:rsidP="000264C0">
      <w:pPr>
        <w:pStyle w:val="FootnoteText"/>
        <w:jc w:val="both"/>
        <w:rPr>
          <w:rFonts w:ascii="Arial" w:hAnsi="Arial" w:cs="Arial"/>
          <w:b/>
          <w:bCs/>
          <w:sz w:val="22"/>
          <w:szCs w:val="22"/>
          <w:u w:val="single"/>
        </w:rPr>
      </w:pPr>
      <w:r w:rsidRPr="00642313">
        <w:rPr>
          <w:rFonts w:ascii="Arial" w:hAnsi="Arial" w:cs="Arial"/>
          <w:sz w:val="22"/>
          <w:szCs w:val="22"/>
        </w:rPr>
        <w:t xml:space="preserve">Please note: </w:t>
      </w:r>
      <w:r w:rsidRPr="00642313">
        <w:rPr>
          <w:rFonts w:ascii="Arial" w:hAnsi="Arial" w:cs="Arial"/>
          <w:iCs/>
          <w:sz w:val="22"/>
          <w:szCs w:val="22"/>
        </w:rPr>
        <w:t xml:space="preserve">The information provided herein is of a general nature only and is not intended to provide legal advice. </w:t>
      </w:r>
    </w:p>
    <w:sectPr w:rsidR="00E77BA0" w:rsidRPr="00642313" w:rsidSect="003A69E3">
      <w:headerReference w:type="default" r:id="rId16"/>
      <w:pgSz w:w="12240" w:h="15840"/>
      <w:pgMar w:top="990" w:right="1440"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FD10" w14:textId="77777777" w:rsidR="00332B68" w:rsidRDefault="00332B68" w:rsidP="001D1989">
      <w:pPr>
        <w:spacing w:after="0" w:line="240" w:lineRule="auto"/>
      </w:pPr>
      <w:r>
        <w:separator/>
      </w:r>
    </w:p>
  </w:endnote>
  <w:endnote w:type="continuationSeparator" w:id="0">
    <w:p w14:paraId="7D3FEF57" w14:textId="77777777" w:rsidR="00332B68" w:rsidRDefault="00332B68" w:rsidP="001D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BF3E" w14:textId="77777777" w:rsidR="00332B68" w:rsidRDefault="00332B68" w:rsidP="001D1989">
      <w:pPr>
        <w:spacing w:after="0" w:line="240" w:lineRule="auto"/>
      </w:pPr>
      <w:r>
        <w:separator/>
      </w:r>
    </w:p>
  </w:footnote>
  <w:footnote w:type="continuationSeparator" w:id="0">
    <w:p w14:paraId="412BD3B3" w14:textId="77777777" w:rsidR="00332B68" w:rsidRDefault="00332B68" w:rsidP="001D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1898"/>
      <w:docPartObj>
        <w:docPartGallery w:val="Page Numbers (Top of Page)"/>
        <w:docPartUnique/>
      </w:docPartObj>
    </w:sdtPr>
    <w:sdtEndPr>
      <w:rPr>
        <w:rFonts w:ascii="Arial" w:hAnsi="Arial" w:cs="Arial"/>
        <w:noProof/>
        <w:sz w:val="20"/>
        <w:szCs w:val="20"/>
      </w:rPr>
    </w:sdtEndPr>
    <w:sdtContent>
      <w:p w14:paraId="08C64D5D" w14:textId="392A2E39" w:rsidR="001D1989" w:rsidRPr="001D1989" w:rsidRDefault="001D1989">
        <w:pPr>
          <w:pStyle w:val="Header"/>
          <w:jc w:val="right"/>
          <w:rPr>
            <w:rFonts w:ascii="Arial" w:hAnsi="Arial" w:cs="Arial"/>
            <w:sz w:val="20"/>
            <w:szCs w:val="20"/>
          </w:rPr>
        </w:pPr>
        <w:r w:rsidRPr="001D1989">
          <w:rPr>
            <w:rFonts w:ascii="Arial" w:hAnsi="Arial" w:cs="Arial"/>
            <w:sz w:val="20"/>
            <w:szCs w:val="20"/>
          </w:rPr>
          <w:fldChar w:fldCharType="begin"/>
        </w:r>
        <w:r w:rsidRPr="001D1989">
          <w:rPr>
            <w:rFonts w:ascii="Arial" w:hAnsi="Arial" w:cs="Arial"/>
            <w:sz w:val="20"/>
            <w:szCs w:val="20"/>
          </w:rPr>
          <w:instrText xml:space="preserve"> PAGE   \* MERGEFORMAT </w:instrText>
        </w:r>
        <w:r w:rsidRPr="001D1989">
          <w:rPr>
            <w:rFonts w:ascii="Arial" w:hAnsi="Arial" w:cs="Arial"/>
            <w:sz w:val="20"/>
            <w:szCs w:val="20"/>
          </w:rPr>
          <w:fldChar w:fldCharType="separate"/>
        </w:r>
        <w:r w:rsidR="00F11AA8">
          <w:rPr>
            <w:rFonts w:ascii="Arial" w:hAnsi="Arial" w:cs="Arial"/>
            <w:noProof/>
            <w:sz w:val="20"/>
            <w:szCs w:val="20"/>
          </w:rPr>
          <w:t>3</w:t>
        </w:r>
        <w:r w:rsidRPr="001D1989">
          <w:rPr>
            <w:rFonts w:ascii="Arial" w:hAnsi="Arial" w:cs="Arial"/>
            <w:noProof/>
            <w:sz w:val="20"/>
            <w:szCs w:val="20"/>
          </w:rPr>
          <w:fldChar w:fldCharType="end"/>
        </w:r>
      </w:p>
    </w:sdtContent>
  </w:sdt>
  <w:p w14:paraId="42983507" w14:textId="77777777" w:rsidR="001D1989" w:rsidRDefault="001D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8DE"/>
    <w:multiLevelType w:val="hybridMultilevel"/>
    <w:tmpl w:val="D83C1206"/>
    <w:lvl w:ilvl="0" w:tplc="CFC0793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6351B9"/>
    <w:multiLevelType w:val="hybridMultilevel"/>
    <w:tmpl w:val="51D6E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88360E"/>
    <w:multiLevelType w:val="hybridMultilevel"/>
    <w:tmpl w:val="EDAA2E8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96433B8"/>
    <w:multiLevelType w:val="hybridMultilevel"/>
    <w:tmpl w:val="C074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9F7F05"/>
    <w:multiLevelType w:val="multilevel"/>
    <w:tmpl w:val="8798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24743"/>
    <w:multiLevelType w:val="hybridMultilevel"/>
    <w:tmpl w:val="72B0307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840F3D"/>
    <w:multiLevelType w:val="hybridMultilevel"/>
    <w:tmpl w:val="713A5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085797"/>
    <w:multiLevelType w:val="hybridMultilevel"/>
    <w:tmpl w:val="1E60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9B4B4A"/>
    <w:multiLevelType w:val="hybridMultilevel"/>
    <w:tmpl w:val="AB04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EF"/>
    <w:rsid w:val="00012418"/>
    <w:rsid w:val="000264C0"/>
    <w:rsid w:val="000266FF"/>
    <w:rsid w:val="000B15C0"/>
    <w:rsid w:val="0010144E"/>
    <w:rsid w:val="00187C42"/>
    <w:rsid w:val="001C011C"/>
    <w:rsid w:val="001D1989"/>
    <w:rsid w:val="001D2598"/>
    <w:rsid w:val="002026AB"/>
    <w:rsid w:val="0025791C"/>
    <w:rsid w:val="00264B4B"/>
    <w:rsid w:val="0027377C"/>
    <w:rsid w:val="002B1C07"/>
    <w:rsid w:val="002C3569"/>
    <w:rsid w:val="002C59CA"/>
    <w:rsid w:val="002C6788"/>
    <w:rsid w:val="002D58FE"/>
    <w:rsid w:val="002D700C"/>
    <w:rsid w:val="00323D17"/>
    <w:rsid w:val="00332B68"/>
    <w:rsid w:val="00342A1B"/>
    <w:rsid w:val="003538A3"/>
    <w:rsid w:val="00357D6F"/>
    <w:rsid w:val="00380EA0"/>
    <w:rsid w:val="00381331"/>
    <w:rsid w:val="00390544"/>
    <w:rsid w:val="003A69E3"/>
    <w:rsid w:val="003D2023"/>
    <w:rsid w:val="003F3FA2"/>
    <w:rsid w:val="0043322D"/>
    <w:rsid w:val="00436C6F"/>
    <w:rsid w:val="00465577"/>
    <w:rsid w:val="004A57C9"/>
    <w:rsid w:val="004A694F"/>
    <w:rsid w:val="004D1966"/>
    <w:rsid w:val="004E1CC2"/>
    <w:rsid w:val="00503EEB"/>
    <w:rsid w:val="005073E0"/>
    <w:rsid w:val="00507CD3"/>
    <w:rsid w:val="00511AEF"/>
    <w:rsid w:val="005E294C"/>
    <w:rsid w:val="0063216A"/>
    <w:rsid w:val="00642313"/>
    <w:rsid w:val="00652E3F"/>
    <w:rsid w:val="00667B22"/>
    <w:rsid w:val="0067505E"/>
    <w:rsid w:val="006858BF"/>
    <w:rsid w:val="006C271C"/>
    <w:rsid w:val="006E4F46"/>
    <w:rsid w:val="0071703F"/>
    <w:rsid w:val="007262F7"/>
    <w:rsid w:val="00726AE8"/>
    <w:rsid w:val="00734E15"/>
    <w:rsid w:val="00773294"/>
    <w:rsid w:val="00773C3B"/>
    <w:rsid w:val="00785F87"/>
    <w:rsid w:val="007938E9"/>
    <w:rsid w:val="00796355"/>
    <w:rsid w:val="007B3113"/>
    <w:rsid w:val="007C270A"/>
    <w:rsid w:val="00803AB1"/>
    <w:rsid w:val="00844757"/>
    <w:rsid w:val="008A6E90"/>
    <w:rsid w:val="008A7BEF"/>
    <w:rsid w:val="008B7BAB"/>
    <w:rsid w:val="009577EA"/>
    <w:rsid w:val="009D0C5F"/>
    <w:rsid w:val="00A46DA7"/>
    <w:rsid w:val="00A8441B"/>
    <w:rsid w:val="00AC320D"/>
    <w:rsid w:val="00AD7112"/>
    <w:rsid w:val="00AE0C48"/>
    <w:rsid w:val="00AE6F20"/>
    <w:rsid w:val="00B34FCC"/>
    <w:rsid w:val="00B8640C"/>
    <w:rsid w:val="00BC50C8"/>
    <w:rsid w:val="00BF1C30"/>
    <w:rsid w:val="00C42FC5"/>
    <w:rsid w:val="00C46286"/>
    <w:rsid w:val="00CC69E0"/>
    <w:rsid w:val="00D337AA"/>
    <w:rsid w:val="00D45D6E"/>
    <w:rsid w:val="00DC554C"/>
    <w:rsid w:val="00DF5049"/>
    <w:rsid w:val="00E362B6"/>
    <w:rsid w:val="00E430C1"/>
    <w:rsid w:val="00E77BA0"/>
    <w:rsid w:val="00ED1765"/>
    <w:rsid w:val="00ED2CB9"/>
    <w:rsid w:val="00EF30DE"/>
    <w:rsid w:val="00F11AA8"/>
    <w:rsid w:val="00F455D5"/>
    <w:rsid w:val="00FC1516"/>
    <w:rsid w:val="00FE6092"/>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45C"/>
  <w15:chartTrackingRefBased/>
  <w15:docId w15:val="{943056B1-4DAE-4E2B-A7B8-369FA190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8E9"/>
    <w:pPr>
      <w:keepNext/>
      <w:outlineLvl w:val="0"/>
    </w:pPr>
    <w:rPr>
      <w:rFonts w:ascii="Arial" w:hAnsi="Arial" w:cs="Arial"/>
      <w:b/>
      <w:bC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8E9"/>
    <w:rPr>
      <w:rFonts w:ascii="Arial" w:hAnsi="Arial" w:cs="Arial"/>
      <w:b/>
      <w:bCs/>
      <w:u w:val="single"/>
      <w:lang w:val="en-CA"/>
    </w:rPr>
  </w:style>
  <w:style w:type="paragraph" w:styleId="BodyText">
    <w:name w:val="Body Text"/>
    <w:basedOn w:val="Normal"/>
    <w:link w:val="BodyTextChar"/>
    <w:uiPriority w:val="99"/>
    <w:unhideWhenUsed/>
    <w:rsid w:val="00DF5049"/>
    <w:rPr>
      <w:rFonts w:ascii="Arial" w:hAnsi="Arial" w:cs="Arial"/>
      <w:i/>
      <w:iCs/>
      <w:sz w:val="20"/>
      <w:szCs w:val="20"/>
      <w:lang w:val="en-CA"/>
    </w:rPr>
  </w:style>
  <w:style w:type="character" w:customStyle="1" w:styleId="BodyTextChar">
    <w:name w:val="Body Text Char"/>
    <w:basedOn w:val="DefaultParagraphFont"/>
    <w:link w:val="BodyText"/>
    <w:uiPriority w:val="99"/>
    <w:rsid w:val="00DF5049"/>
    <w:rPr>
      <w:rFonts w:ascii="Arial" w:hAnsi="Arial" w:cs="Arial"/>
      <w:i/>
      <w:iCs/>
      <w:sz w:val="20"/>
      <w:szCs w:val="20"/>
      <w:lang w:val="en-CA"/>
    </w:rPr>
  </w:style>
  <w:style w:type="character" w:styleId="Hyperlink">
    <w:name w:val="Hyperlink"/>
    <w:basedOn w:val="DefaultParagraphFont"/>
    <w:uiPriority w:val="99"/>
    <w:unhideWhenUsed/>
    <w:rsid w:val="00AD7112"/>
    <w:rPr>
      <w:color w:val="0563C1" w:themeColor="hyperlink"/>
      <w:u w:val="single"/>
    </w:rPr>
  </w:style>
  <w:style w:type="character" w:customStyle="1" w:styleId="UnresolvedMention1">
    <w:name w:val="Unresolved Mention1"/>
    <w:basedOn w:val="DefaultParagraphFont"/>
    <w:uiPriority w:val="99"/>
    <w:semiHidden/>
    <w:unhideWhenUsed/>
    <w:rsid w:val="00AD7112"/>
    <w:rPr>
      <w:color w:val="605E5C"/>
      <w:shd w:val="clear" w:color="auto" w:fill="E1DFDD"/>
    </w:rPr>
  </w:style>
  <w:style w:type="paragraph" w:styleId="ListParagraph">
    <w:name w:val="List Paragraph"/>
    <w:basedOn w:val="Normal"/>
    <w:uiPriority w:val="34"/>
    <w:qFormat/>
    <w:rsid w:val="00AD7112"/>
    <w:pPr>
      <w:spacing w:after="0" w:line="240" w:lineRule="auto"/>
      <w:ind w:left="720"/>
    </w:pPr>
    <w:rPr>
      <w:rFonts w:ascii="Calibri" w:hAnsi="Calibri" w:cs="Calibri"/>
    </w:rPr>
  </w:style>
  <w:style w:type="paragraph" w:styleId="FootnoteText">
    <w:name w:val="footnote text"/>
    <w:basedOn w:val="Normal"/>
    <w:link w:val="FootnoteTextChar"/>
    <w:uiPriority w:val="99"/>
    <w:unhideWhenUsed/>
    <w:rsid w:val="005073E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073E0"/>
    <w:rPr>
      <w:rFonts w:asciiTheme="minorHAnsi" w:hAnsiTheme="minorHAnsi"/>
      <w:sz w:val="20"/>
      <w:szCs w:val="20"/>
    </w:rPr>
  </w:style>
  <w:style w:type="paragraph" w:styleId="Header">
    <w:name w:val="header"/>
    <w:basedOn w:val="Normal"/>
    <w:link w:val="HeaderChar"/>
    <w:uiPriority w:val="99"/>
    <w:unhideWhenUsed/>
    <w:rsid w:val="001D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89"/>
  </w:style>
  <w:style w:type="paragraph" w:styleId="Footer">
    <w:name w:val="footer"/>
    <w:basedOn w:val="Normal"/>
    <w:link w:val="FooterChar"/>
    <w:uiPriority w:val="99"/>
    <w:unhideWhenUsed/>
    <w:rsid w:val="001D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89"/>
  </w:style>
  <w:style w:type="character" w:styleId="FollowedHyperlink">
    <w:name w:val="FollowedHyperlink"/>
    <w:basedOn w:val="DefaultParagraphFont"/>
    <w:uiPriority w:val="99"/>
    <w:semiHidden/>
    <w:unhideWhenUsed/>
    <w:rsid w:val="00667B22"/>
    <w:rPr>
      <w:color w:val="954F72" w:themeColor="followedHyperlink"/>
      <w:u w:val="single"/>
    </w:rPr>
  </w:style>
  <w:style w:type="paragraph" w:styleId="NormalWeb">
    <w:name w:val="Normal (Web)"/>
    <w:basedOn w:val="Normal"/>
    <w:uiPriority w:val="99"/>
    <w:unhideWhenUsed/>
    <w:rsid w:val="00ED2CB9"/>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98">
      <w:bodyDiv w:val="1"/>
      <w:marLeft w:val="0"/>
      <w:marRight w:val="0"/>
      <w:marTop w:val="0"/>
      <w:marBottom w:val="0"/>
      <w:divBdr>
        <w:top w:val="none" w:sz="0" w:space="0" w:color="auto"/>
        <w:left w:val="none" w:sz="0" w:space="0" w:color="auto"/>
        <w:bottom w:val="none" w:sz="0" w:space="0" w:color="auto"/>
        <w:right w:val="none" w:sz="0" w:space="0" w:color="auto"/>
      </w:divBdr>
    </w:div>
    <w:div w:id="222571584">
      <w:bodyDiv w:val="1"/>
      <w:marLeft w:val="0"/>
      <w:marRight w:val="0"/>
      <w:marTop w:val="0"/>
      <w:marBottom w:val="0"/>
      <w:divBdr>
        <w:top w:val="none" w:sz="0" w:space="0" w:color="auto"/>
        <w:left w:val="none" w:sz="0" w:space="0" w:color="auto"/>
        <w:bottom w:val="none" w:sz="0" w:space="0" w:color="auto"/>
        <w:right w:val="none" w:sz="0" w:space="0" w:color="auto"/>
      </w:divBdr>
    </w:div>
    <w:div w:id="245383930">
      <w:bodyDiv w:val="1"/>
      <w:marLeft w:val="0"/>
      <w:marRight w:val="0"/>
      <w:marTop w:val="0"/>
      <w:marBottom w:val="0"/>
      <w:divBdr>
        <w:top w:val="none" w:sz="0" w:space="0" w:color="auto"/>
        <w:left w:val="none" w:sz="0" w:space="0" w:color="auto"/>
        <w:bottom w:val="none" w:sz="0" w:space="0" w:color="auto"/>
        <w:right w:val="none" w:sz="0" w:space="0" w:color="auto"/>
      </w:divBdr>
    </w:div>
    <w:div w:id="498737048">
      <w:bodyDiv w:val="1"/>
      <w:marLeft w:val="0"/>
      <w:marRight w:val="0"/>
      <w:marTop w:val="0"/>
      <w:marBottom w:val="0"/>
      <w:divBdr>
        <w:top w:val="none" w:sz="0" w:space="0" w:color="auto"/>
        <w:left w:val="none" w:sz="0" w:space="0" w:color="auto"/>
        <w:bottom w:val="none" w:sz="0" w:space="0" w:color="auto"/>
        <w:right w:val="none" w:sz="0" w:space="0" w:color="auto"/>
      </w:divBdr>
    </w:div>
    <w:div w:id="508132771">
      <w:bodyDiv w:val="1"/>
      <w:marLeft w:val="0"/>
      <w:marRight w:val="0"/>
      <w:marTop w:val="0"/>
      <w:marBottom w:val="0"/>
      <w:divBdr>
        <w:top w:val="none" w:sz="0" w:space="0" w:color="auto"/>
        <w:left w:val="none" w:sz="0" w:space="0" w:color="auto"/>
        <w:bottom w:val="none" w:sz="0" w:space="0" w:color="auto"/>
        <w:right w:val="none" w:sz="0" w:space="0" w:color="auto"/>
      </w:divBdr>
    </w:div>
    <w:div w:id="513346549">
      <w:bodyDiv w:val="1"/>
      <w:marLeft w:val="0"/>
      <w:marRight w:val="0"/>
      <w:marTop w:val="0"/>
      <w:marBottom w:val="0"/>
      <w:divBdr>
        <w:top w:val="none" w:sz="0" w:space="0" w:color="auto"/>
        <w:left w:val="none" w:sz="0" w:space="0" w:color="auto"/>
        <w:bottom w:val="none" w:sz="0" w:space="0" w:color="auto"/>
        <w:right w:val="none" w:sz="0" w:space="0" w:color="auto"/>
      </w:divBdr>
    </w:div>
    <w:div w:id="955059643">
      <w:bodyDiv w:val="1"/>
      <w:marLeft w:val="0"/>
      <w:marRight w:val="0"/>
      <w:marTop w:val="0"/>
      <w:marBottom w:val="0"/>
      <w:divBdr>
        <w:top w:val="none" w:sz="0" w:space="0" w:color="auto"/>
        <w:left w:val="none" w:sz="0" w:space="0" w:color="auto"/>
        <w:bottom w:val="none" w:sz="0" w:space="0" w:color="auto"/>
        <w:right w:val="none" w:sz="0" w:space="0" w:color="auto"/>
      </w:divBdr>
    </w:div>
    <w:div w:id="2014801310">
      <w:bodyDiv w:val="1"/>
      <w:marLeft w:val="0"/>
      <w:marRight w:val="0"/>
      <w:marTop w:val="0"/>
      <w:marBottom w:val="0"/>
      <w:divBdr>
        <w:top w:val="none" w:sz="0" w:space="0" w:color="auto"/>
        <w:left w:val="none" w:sz="0" w:space="0" w:color="auto"/>
        <w:bottom w:val="none" w:sz="0" w:space="0" w:color="auto"/>
        <w:right w:val="none" w:sz="0" w:space="0" w:color="auto"/>
      </w:divBdr>
    </w:div>
    <w:div w:id="2118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s-lois.justice.gc.ca/eng/acts/U-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la.ca/" TargetMode="External"/><Relationship Id="rId12" Type="http://schemas.openxmlformats.org/officeDocument/2006/relationships/hyperlink" Target="https://lso.ca/lawyers/practice-supports-and-resources/practice-area/real-estate-law/electronic-registration-of-title-docu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revenue-agency/services/tax/trust-administrators/t3-return/new-trust-reporting-requirements-t3-filed-tax-years-ending-december-2023.html" TargetMode="External"/><Relationship Id="rId5" Type="http://schemas.openxmlformats.org/officeDocument/2006/relationships/footnotes" Target="footnotes.xml"/><Relationship Id="rId15" Type="http://schemas.openxmlformats.org/officeDocument/2006/relationships/hyperlink" Target="https://fola.ca/real-estate-law" TargetMode="External"/><Relationship Id="rId10" Type="http://schemas.openxmlformats.org/officeDocument/2006/relationships/hyperlink" Target="https://lso.ca/news-events/news/latest-news-2023/notice-to-the-professions-virtual-verification-of" TargetMode="External"/><Relationship Id="rId4" Type="http://schemas.openxmlformats.org/officeDocument/2006/relationships/webSettings" Target="webSettings.xml"/><Relationship Id="rId9" Type="http://schemas.openxmlformats.org/officeDocument/2006/relationships/hyperlink" Target="https://urldefense.com/v3/__https:/www.canadahelps.org/en/charities/the-federation-of-chinese-canadian-professionals-ontario-e/campaign/jeffrey-lem-memorial-scholarship__;!!K_MlPo8izw!LZMAvGKDyujrFaHhWlSwGTBVf3lXbyDoNwjz_Mx5VSwO1IkuLgb3BU2pQ2IbYihmUnyHMljQtZn3mHYeY5NYlry0hU2ypw$" TargetMode="External"/><Relationship Id="rId14" Type="http://schemas.openxmlformats.org/officeDocument/2006/relationships/hyperlink" Target="https://www.charneylawyers.com/docs/default-source/class-actions-documents/dye-durham-limited-class-action/burford-law-v-dye-durham--cv-22-00675855-00cp---revised-settlement-approval-endorsement---october-24-2023.pdf?sfvrsn=db65e9c2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Merredith MacLennan</dc:creator>
  <cp:keywords/>
  <dc:description/>
  <cp:lastModifiedBy>Janet's Computer</cp:lastModifiedBy>
  <cp:revision>2</cp:revision>
  <cp:lastPrinted>2021-10-03T19:58:00Z</cp:lastPrinted>
  <dcterms:created xsi:type="dcterms:W3CDTF">2024-04-23T15:52:00Z</dcterms:created>
  <dcterms:modified xsi:type="dcterms:W3CDTF">2024-04-23T15:52:00Z</dcterms:modified>
</cp:coreProperties>
</file>